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61" w:rsidRDefault="002F3A61" w:rsidP="002F3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3A61" w:rsidRPr="00740C67" w:rsidRDefault="002F3A61" w:rsidP="00740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40C67">
        <w:rPr>
          <w:rFonts w:ascii="Times New Roman" w:hAnsi="Times New Roman" w:cs="Times New Roman"/>
          <w:b/>
          <w:iCs/>
          <w:sz w:val="28"/>
          <w:szCs w:val="28"/>
        </w:rPr>
        <w:t>Щодо додержання законодавства</w:t>
      </w:r>
      <w:r w:rsidR="00740C6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40C67">
        <w:rPr>
          <w:rFonts w:ascii="Times New Roman" w:hAnsi="Times New Roman" w:cs="Times New Roman"/>
          <w:b/>
          <w:iCs/>
          <w:sz w:val="28"/>
          <w:szCs w:val="28"/>
        </w:rPr>
        <w:t>про державну регуляторну політику</w:t>
      </w:r>
    </w:p>
    <w:p w:rsidR="002F3A61" w:rsidRPr="00740C67" w:rsidRDefault="002F3A61" w:rsidP="00740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67">
        <w:rPr>
          <w:rFonts w:ascii="Times New Roman" w:hAnsi="Times New Roman" w:cs="Times New Roman"/>
          <w:b/>
          <w:iCs/>
          <w:sz w:val="28"/>
          <w:szCs w:val="28"/>
        </w:rPr>
        <w:t>під час військової агресії Російської Федерації</w:t>
      </w:r>
      <w:r w:rsidR="00740C6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40C67">
        <w:rPr>
          <w:rFonts w:ascii="Times New Roman" w:hAnsi="Times New Roman" w:cs="Times New Roman"/>
          <w:b/>
          <w:iCs/>
          <w:sz w:val="28"/>
          <w:szCs w:val="28"/>
        </w:rPr>
        <w:t>проти України</w:t>
      </w:r>
    </w:p>
    <w:p w:rsidR="002F3A61" w:rsidRDefault="002F3A61" w:rsidP="00740C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F3A61" w:rsidRDefault="002F3A61" w:rsidP="00740C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F3A61" w:rsidRDefault="002F3A61" w:rsidP="00740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Державна регуляторна служба України наголошує на тому, що в умовах дії правового режиму воєнного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стану одним із пріоритетних напрямів діяльності Уряду є створення сприятливих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умов для ведення бізнесу, що є запорукою економічної перемоги над ворогом. До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таких заходів відноситься, у тому числі, неухильне додержання органами влади та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місцевого самоврядування процедури, передбаченої Законом України «Про засади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державної регуляторної політики у сфері господарської діяльності» (далі – Закон)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прийняття регуляторних актів, якими регламентується діяльність суб’єктів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господарювання на місцевому рівні.</w:t>
      </w:r>
    </w:p>
    <w:p w:rsidR="002F3A61" w:rsidRDefault="002F3A61" w:rsidP="00740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Відповідно до Закону та постанови Кабінету Міністрів України від 23.09.2014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 634 «Про порядок підготовки пропозицій щодо удосконалення проектів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регуляторних актів, які розробляються органами місцевого самоврядування» ДРС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опрацьовує та надає пропозиції щодо удосконалення проектів рішень,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розроблених органами місцевого самоврядування.</w:t>
      </w:r>
    </w:p>
    <w:p w:rsidR="002F3A61" w:rsidRDefault="002F3A61" w:rsidP="00740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 травня 2022 року Верховною Радою України прийнято Закон України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 2259-IX «Про внесення змін до деяких законів України щодо функціонування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державної служби та місцевого самоврядування у період дії воєнного стану»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(далі – Закон № 2259), згідно з яким статтю 9 Закону України «Про правовий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режим воєнного стану» доповнено положеннями щодо непоширення у період дії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воєнного стану на акти органів місцевого самоврядування вимог Закону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України «Про засади державної регуляторної політики у сфері господарської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діяльності». Отже, починаючи з 20 травня 2022 року, органи місцевого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самоврядування можуть приймати регуляторні акти без дотримання процедури,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передбаченої законодавством для їх прийняття.</w:t>
      </w:r>
    </w:p>
    <w:p w:rsidR="00A64906" w:rsidRDefault="002F3A61" w:rsidP="00740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Як наслідок, на сьогодні поширені випадки прийняття органами місцевого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самоврядування регуляторних актів на власний розсуд, з порушенням вимог</w:t>
      </w:r>
      <w:r w:rsidR="00740C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законодавства, у тому числі, перевищенням передбачених законами повноважень.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 свою чергу, це призводить до порушення суб’єктами нормотворення статті 19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Конституції України, відповідно до якої органи місцевого самоврядування, їх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посадові особи зобов’язані діяти лише на підставі, в межах повноважень та у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спосіб, передбачені Конституцією та законами України. Внаслідок нехтування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органами місцевого самоврядування вимог законодавства здійснюється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негативний вплив на ефективність здійснення суб’єктами господарювання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господарської діяльності, що негативно відображається на економічній стійкості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країни під час війни. Доцільно зазначити, що усі акти, які приймаються органами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місцевого самоврядування без дотримання регуляторної процедури, стосуються не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реалізації заходів воєнного стану, а загальних питань здійснення господарської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діяльності у територіальних громадах та діятимуть після скасування воєнного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стану.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A64906" w:rsidRDefault="002F3A61" w:rsidP="00740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цьому, акцентуємо увагу на тому, що саме Закон визначає правові та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організаційні засади реалізації державної регуляторної політики у сфері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господарської діяльності та встановлює єдиний порядок прийняття проектів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регуляторних актів, вимоги до оприлюднення проектів та прийнятих регуляторних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lastRenderedPageBreak/>
        <w:t>актів, підготовки аналізу регуляторного впливу таких проектів, здійснення заходів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 відстеження результативності регуляторних актів, їх перегляду тощо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A6490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A64906" w:rsidRDefault="002F3A61" w:rsidP="00740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Стаття 34 Закону вимагає від органів місцевого самоврядування, щоб кожен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проект регуляторного акта перед винесенням на розгляд відповідної ради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подавався до відповідальної постійної комісії для вивчення та надання висновків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 відповідність проекту регуляторного акта вимогам статей 4 та 8 Закону.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Відповідальна постійна комісія забезпечує підготовку експертного висновку щодо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регуляторного впливу внесеного проекту регуляторного акта, який разом з цим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проектом та підписаним аналізом регуляторного впливу подається до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уповноваженого органу для підготовки у встановленому Кабінетом Міністрів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України порядку пропозицій щодо удосконалення проекту відповідно до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принципів державної регуляторної політики.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2F3A61" w:rsidRDefault="002F3A61" w:rsidP="00740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Невиконання суб’єктом нормотворення, яким є орган місцевого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самоврядування, положень статті 34 Закону, порушує принципи державної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регуляторної політики у сфері господарської діяльності.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2F3A61" w:rsidRDefault="002F3A61" w:rsidP="00740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Звертаємо увагу, що відповідно до вимог Закону надання роз’яснень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положень законодавства про державну регуляторну політику є виключною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компетенцією ДРС.</w:t>
      </w:r>
    </w:p>
    <w:p w:rsidR="00A64906" w:rsidRDefault="002F3A61" w:rsidP="00740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Роз’яснення ДРС щодо особливостей прийняття проектів регуляторних актів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органами влади в умовах воєнного стану з урахуванням Закону України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від 12.05.2022 № 2259-IX «Про внесення змін до деяких законів України щодо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функціонування державної служби та місцевого самоврядування у період дії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воєнного стану» розміщені на офіційному вебсайті 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http://www.drs.gov.ua у рубриці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«Регуляторна політика» (підрубрика «Роз’яснення»).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A64906" w:rsidRDefault="002F3A61" w:rsidP="00740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 разі виникнення спірних питань, пов’язаних з дотриманням процедури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прийняття регуляторних актів, можна звернутись безпосередньо до фахівців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відділу проведення експертизи проектів регуляторних актів органів місцевого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самоврядування Департаменту державної регуляторної політики та дерегуляції,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що вказані на офіційному вебсайті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-</w:t>
      </w:r>
      <w:r>
        <w:rPr>
          <w:rFonts w:ascii="TimesNewRomanPSMT" w:hAnsi="TimesNewRomanPSMT" w:cs="TimesNewRomanPSMT"/>
          <w:sz w:val="28"/>
          <w:szCs w:val="28"/>
        </w:rPr>
        <w:t xml:space="preserve"> http://www.drs.gov.ua у рубриці «Контакти».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2F3A61" w:rsidRDefault="002F3A61" w:rsidP="00740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Додержання вимог Закону забезпечить правову основу для здійснення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державної регуляторної політики у сфері господарської діяльності на місцевому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рівні, що створить максимально зручні умови для ведення бізнесу, допоможе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підприємцям відновити роботу, призупинену через бойові дії та зберегти робочі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місця.</w:t>
      </w:r>
    </w:p>
    <w:p w:rsidR="002F3A61" w:rsidRDefault="002F3A61" w:rsidP="00740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Враховуючи вищевикладене, наголошуємо на необхідності неухильного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виконання вимог Закону при розробленні проектів регуляторних актів та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рекомендуємо чітко дотримуватися процедури, передбаченої статтями 4 та 8</w:t>
      </w:r>
      <w:r w:rsidR="00A6490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Закону.</w:t>
      </w:r>
    </w:p>
    <w:p w:rsidR="00A64906" w:rsidRDefault="00A64906" w:rsidP="00A649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906" w:rsidRDefault="00A64906" w:rsidP="00A649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A61" w:rsidRPr="00A64906" w:rsidRDefault="002F3A61" w:rsidP="00A649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906">
        <w:rPr>
          <w:rFonts w:ascii="Times New Roman" w:hAnsi="Times New Roman" w:cs="Times New Roman"/>
          <w:bCs/>
          <w:sz w:val="28"/>
          <w:szCs w:val="28"/>
        </w:rPr>
        <w:t>Голова Державної регуляторної</w:t>
      </w:r>
    </w:p>
    <w:p w:rsidR="000E7534" w:rsidRPr="00A64906" w:rsidRDefault="002F3A61" w:rsidP="00A649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906">
        <w:rPr>
          <w:rFonts w:ascii="Times New Roman" w:hAnsi="Times New Roman" w:cs="Times New Roman"/>
          <w:bCs/>
          <w:sz w:val="28"/>
          <w:szCs w:val="28"/>
        </w:rPr>
        <w:t xml:space="preserve">служби України </w:t>
      </w:r>
      <w:r w:rsidR="00A649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A64906">
        <w:rPr>
          <w:rFonts w:ascii="Times New Roman" w:hAnsi="Times New Roman" w:cs="Times New Roman"/>
          <w:bCs/>
          <w:sz w:val="28"/>
          <w:szCs w:val="28"/>
        </w:rPr>
        <w:t>Олексій КУЧЕР</w:t>
      </w:r>
    </w:p>
    <w:p w:rsidR="000E7534" w:rsidRPr="00A64906" w:rsidRDefault="000E7534" w:rsidP="00740C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2F3A61" w:rsidRDefault="002F3A61" w:rsidP="00740C67">
      <w:pPr>
        <w:shd w:val="clear" w:color="auto" w:fill="FFFFFF"/>
        <w:tabs>
          <w:tab w:val="left" w:pos="0"/>
        </w:tabs>
        <w:spacing w:after="0" w:line="240" w:lineRule="auto"/>
        <w:ind w:firstLine="62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F3A61" w:rsidRDefault="002F3A61" w:rsidP="00740C67">
      <w:pPr>
        <w:shd w:val="clear" w:color="auto" w:fill="FFFFFF"/>
        <w:tabs>
          <w:tab w:val="left" w:pos="0"/>
        </w:tabs>
        <w:spacing w:after="0" w:line="240" w:lineRule="auto"/>
        <w:ind w:firstLine="62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F3A61" w:rsidRDefault="002F3A61" w:rsidP="000E753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2F3A61" w:rsidRDefault="002F3A61" w:rsidP="000E753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2F3A61" w:rsidSect="00740C6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34"/>
    <w:rsid w:val="000E7534"/>
    <w:rsid w:val="002F3A61"/>
    <w:rsid w:val="00597C77"/>
    <w:rsid w:val="00740C67"/>
    <w:rsid w:val="00A64906"/>
    <w:rsid w:val="00BC0B08"/>
    <w:rsid w:val="00E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AC591-4238-4EAA-9988-D53F29A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Вхідні Економіка</dc:creator>
  <cp:keywords/>
  <dc:description/>
  <cp:lastModifiedBy>Інформ. відділ</cp:lastModifiedBy>
  <cp:revision>2</cp:revision>
  <dcterms:created xsi:type="dcterms:W3CDTF">2022-10-17T12:44:00Z</dcterms:created>
  <dcterms:modified xsi:type="dcterms:W3CDTF">2022-10-17T13:51:00Z</dcterms:modified>
</cp:coreProperties>
</file>